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6B5E333E"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53302B">
        <w:rPr>
          <w:rFonts w:asciiTheme="minorHAnsi" w:hAnsiTheme="minorHAnsi" w:cs="Calibri"/>
          <w:b/>
        </w:rPr>
        <w:t>Obvazový materiál</w:t>
      </w:r>
      <w:r w:rsidR="00BD7E2B">
        <w:rPr>
          <w:rFonts w:asciiTheme="minorHAnsi" w:hAnsiTheme="minorHAnsi" w:cs="Calibri"/>
          <w:b/>
        </w:rPr>
        <w:t xml:space="preserve">, </w:t>
      </w:r>
      <w:r w:rsidR="0053302B">
        <w:rPr>
          <w:rFonts w:asciiTheme="minorHAnsi" w:hAnsiTheme="minorHAnsi" w:cs="Calibri"/>
          <w:b/>
        </w:rPr>
        <w:t>obinadla</w:t>
      </w:r>
      <w:r w:rsidR="00116096">
        <w:rPr>
          <w:rFonts w:asciiTheme="minorHAnsi" w:hAnsiTheme="minorHAnsi" w:cstheme="minorHAnsi"/>
          <w:b/>
        </w:rPr>
        <w:t>, část</w:t>
      </w:r>
      <w:proofErr w:type="gramStart"/>
      <w:r w:rsidR="00116096">
        <w:rPr>
          <w:rFonts w:asciiTheme="minorHAnsi" w:hAnsiTheme="minorHAnsi" w:cstheme="minorHAnsi"/>
          <w:b/>
        </w:rPr>
        <w:t xml:space="preserve"> </w:t>
      </w:r>
      <w:r w:rsidR="00116096" w:rsidRPr="00116096">
        <w:rPr>
          <w:rFonts w:asciiTheme="minorHAnsi" w:hAnsiTheme="minorHAnsi" w:cstheme="minorHAnsi"/>
          <w:b/>
          <w:highlight w:val="yellow"/>
        </w:rPr>
        <w:t>….</w:t>
      </w:r>
      <w:proofErr w:type="gramEnd"/>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43CD10C"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lastRenderedPageBreak/>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017DCE29" w14:textId="077969A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B7A85CF"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min. </w:t>
      </w:r>
      <w:r w:rsidR="0053302B">
        <w:rPr>
          <w:rFonts w:asciiTheme="minorHAnsi" w:hAnsiTheme="minorHAnsi" w:cstheme="minorHAnsi"/>
        </w:rPr>
        <w:t>12</w:t>
      </w:r>
      <w:r>
        <w:rPr>
          <w:rFonts w:asciiTheme="minorHAnsi" w:hAnsiTheme="minorHAnsi" w:cstheme="minorHAnsi"/>
        </w:rPr>
        <w:t xml:space="preserve"> </w:t>
      </w:r>
      <w:r w:rsidR="0086701F">
        <w:rPr>
          <w:rFonts w:asciiTheme="minorHAnsi" w:hAnsiTheme="minorHAnsi" w:cstheme="minorHAnsi"/>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lastRenderedPageBreak/>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D3F9826"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lastRenderedPageBreak/>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266AB223" w14:textId="77777777" w:rsidR="002332DC" w:rsidRDefault="002332DC" w:rsidP="00C53854">
      <w:pPr>
        <w:pStyle w:val="Zkladntextodsazen"/>
        <w:spacing w:after="0"/>
        <w:ind w:left="0" w:firstLine="0"/>
        <w:jc w:val="both"/>
        <w:rPr>
          <w:sz w:val="22"/>
          <w:szCs w:val="22"/>
        </w:rPr>
      </w:pPr>
    </w:p>
    <w:p w14:paraId="5D189765" w14:textId="77777777" w:rsidR="002332DC" w:rsidRDefault="002332DC" w:rsidP="00C53854">
      <w:pPr>
        <w:pStyle w:val="Zkladntextodsazen"/>
        <w:spacing w:after="0"/>
        <w:ind w:left="0" w:firstLine="0"/>
        <w:jc w:val="both"/>
        <w:rPr>
          <w:sz w:val="22"/>
          <w:szCs w:val="22"/>
        </w:rPr>
      </w:pPr>
    </w:p>
    <w:p w14:paraId="06EFF1E4" w14:textId="77777777" w:rsidR="002332DC" w:rsidRDefault="002332DC" w:rsidP="00C53854">
      <w:pPr>
        <w:pStyle w:val="Zkladntextodsazen"/>
        <w:spacing w:after="0"/>
        <w:ind w:left="0" w:firstLine="0"/>
        <w:jc w:val="both"/>
        <w:rPr>
          <w:sz w:val="22"/>
          <w:szCs w:val="22"/>
        </w:rPr>
      </w:pP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8</Pages>
  <Words>3012</Words>
  <Characters>17775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29</cp:revision>
  <dcterms:created xsi:type="dcterms:W3CDTF">2022-05-24T07:38:00Z</dcterms:created>
  <dcterms:modified xsi:type="dcterms:W3CDTF">2023-02-27T08:30:00Z</dcterms:modified>
</cp:coreProperties>
</file>